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32F0A">
      <w:pPr>
        <w:pStyle w:val="2"/>
      </w:pPr>
      <w:bookmarkStart w:id="1" w:name="_GoBack"/>
      <w:bookmarkStart w:id="0" w:name="_Toc163721981"/>
      <w:r>
        <w:rPr>
          <w:rFonts w:hint="eastAsia"/>
        </w:rPr>
        <w:t>淮北师范大学</w:t>
      </w:r>
      <w:r>
        <w:t>人才培养方案质量标准</w:t>
      </w:r>
      <w:bookmarkEnd w:id="0"/>
    </w:p>
    <w:bookmarkEnd w:id="1"/>
    <w:tbl>
      <w:tblPr>
        <w:tblStyle w:val="11"/>
        <w:tblW w:w="9719" w:type="dxa"/>
        <w:tblInd w:w="-510" w:type="dxa"/>
        <w:tblLayout w:type="autofit"/>
        <w:tblCellMar>
          <w:top w:w="88" w:type="dxa"/>
          <w:left w:w="107" w:type="dxa"/>
          <w:bottom w:w="0" w:type="dxa"/>
          <w:right w:w="4" w:type="dxa"/>
        </w:tblCellMar>
      </w:tblPr>
      <w:tblGrid>
        <w:gridCol w:w="1212"/>
        <w:gridCol w:w="1575"/>
        <w:gridCol w:w="6932"/>
      </w:tblGrid>
      <w:tr w14:paraId="1363E3A2">
        <w:tblPrEx>
          <w:tblCellMar>
            <w:top w:w="88" w:type="dxa"/>
            <w:left w:w="107" w:type="dxa"/>
            <w:bottom w:w="0" w:type="dxa"/>
            <w:right w:w="4" w:type="dxa"/>
          </w:tblCellMar>
        </w:tblPrEx>
        <w:trPr>
          <w:trHeight w:val="266" w:hRule="atLeast"/>
        </w:trPr>
        <w:tc>
          <w:tcPr>
            <w:tcW w:w="1212" w:type="dxa"/>
            <w:tcBorders>
              <w:top w:val="single" w:color="000000" w:sz="4" w:space="0"/>
              <w:left w:val="single" w:color="000000" w:sz="4" w:space="0"/>
              <w:bottom w:val="single" w:color="000000" w:sz="4" w:space="0"/>
              <w:right w:val="single" w:color="000000" w:sz="4" w:space="0"/>
            </w:tcBorders>
            <w:vAlign w:val="center"/>
          </w:tcPr>
          <w:p w14:paraId="40C9B6B3">
            <w:pPr>
              <w:spacing w:line="240" w:lineRule="auto"/>
              <w:rPr>
                <w:rFonts w:ascii="宋体" w:hAnsi="宋体" w:eastAsia="宋体"/>
                <w:kern w:val="0"/>
                <w:sz w:val="21"/>
                <w:szCs w:val="21"/>
              </w:rPr>
            </w:pPr>
            <w:r>
              <w:rPr>
                <w:rFonts w:hint="eastAsia" w:ascii="宋体" w:hAnsi="宋体" w:eastAsia="宋体" w:cs="宋体"/>
                <w:kern w:val="0"/>
                <w:sz w:val="21"/>
                <w:szCs w:val="21"/>
              </w:rPr>
              <w:t>要素</w:t>
            </w:r>
          </w:p>
        </w:tc>
        <w:tc>
          <w:tcPr>
            <w:tcW w:w="1575" w:type="dxa"/>
            <w:tcBorders>
              <w:top w:val="single" w:color="000000" w:sz="4" w:space="0"/>
              <w:left w:val="single" w:color="000000" w:sz="4" w:space="0"/>
              <w:bottom w:val="single" w:color="000000" w:sz="4" w:space="0"/>
              <w:right w:val="single" w:color="000000" w:sz="4" w:space="0"/>
            </w:tcBorders>
            <w:vAlign w:val="center"/>
          </w:tcPr>
          <w:p w14:paraId="49D46FAB">
            <w:pPr>
              <w:spacing w:line="240" w:lineRule="auto"/>
              <w:rPr>
                <w:rFonts w:ascii="宋体" w:hAnsi="宋体" w:eastAsia="宋体"/>
                <w:kern w:val="0"/>
                <w:sz w:val="21"/>
                <w:szCs w:val="21"/>
              </w:rPr>
            </w:pPr>
            <w:r>
              <w:rPr>
                <w:rFonts w:hint="eastAsia" w:ascii="宋体" w:hAnsi="宋体" w:eastAsia="宋体" w:cs="宋体"/>
                <w:kern w:val="0"/>
                <w:sz w:val="21"/>
                <w:szCs w:val="21"/>
              </w:rPr>
              <w:t>监控点</w:t>
            </w:r>
          </w:p>
        </w:tc>
        <w:tc>
          <w:tcPr>
            <w:tcW w:w="6932" w:type="dxa"/>
            <w:tcBorders>
              <w:top w:val="single" w:color="000000" w:sz="4" w:space="0"/>
              <w:left w:val="single" w:color="000000" w:sz="4" w:space="0"/>
              <w:bottom w:val="single" w:color="000000" w:sz="4" w:space="0"/>
              <w:right w:val="single" w:color="000000" w:sz="4" w:space="0"/>
            </w:tcBorders>
            <w:vAlign w:val="center"/>
          </w:tcPr>
          <w:p w14:paraId="028586FD">
            <w:pPr>
              <w:spacing w:line="240" w:lineRule="auto"/>
              <w:rPr>
                <w:rFonts w:ascii="宋体" w:hAnsi="宋体" w:eastAsia="宋体"/>
                <w:kern w:val="0"/>
                <w:sz w:val="21"/>
                <w:szCs w:val="21"/>
              </w:rPr>
            </w:pPr>
            <w:r>
              <w:rPr>
                <w:rFonts w:hint="eastAsia" w:ascii="宋体" w:hAnsi="宋体" w:eastAsia="宋体" w:cs="宋体"/>
                <w:kern w:val="0"/>
                <w:sz w:val="21"/>
                <w:szCs w:val="21"/>
              </w:rPr>
              <w:t>质量标准</w:t>
            </w:r>
          </w:p>
        </w:tc>
      </w:tr>
      <w:tr w14:paraId="09E43C38">
        <w:tblPrEx>
          <w:tblCellMar>
            <w:top w:w="88" w:type="dxa"/>
            <w:left w:w="107" w:type="dxa"/>
            <w:bottom w:w="0" w:type="dxa"/>
            <w:right w:w="4" w:type="dxa"/>
          </w:tblCellMar>
        </w:tblPrEx>
        <w:trPr>
          <w:trHeight w:val="666" w:hRule="atLeast"/>
        </w:trPr>
        <w:tc>
          <w:tcPr>
            <w:tcW w:w="1212" w:type="dxa"/>
            <w:vMerge w:val="restart"/>
            <w:tcBorders>
              <w:top w:val="single" w:color="000000" w:sz="4" w:space="0"/>
              <w:left w:val="single" w:color="000000" w:sz="4" w:space="0"/>
              <w:bottom w:val="single" w:color="000000" w:sz="4" w:space="0"/>
              <w:right w:val="single" w:color="000000" w:sz="4" w:space="0"/>
            </w:tcBorders>
            <w:vAlign w:val="center"/>
          </w:tcPr>
          <w:p w14:paraId="16885A7C">
            <w:pPr>
              <w:spacing w:line="240" w:lineRule="auto"/>
              <w:ind w:left="0"/>
              <w:rPr>
                <w:rFonts w:ascii="宋体" w:hAnsi="宋体" w:eastAsia="宋体"/>
                <w:kern w:val="0"/>
                <w:sz w:val="21"/>
                <w:szCs w:val="21"/>
              </w:rPr>
            </w:pPr>
            <w:r>
              <w:rPr>
                <w:rFonts w:hint="eastAsia" w:ascii="宋体" w:hAnsi="宋体" w:eastAsia="宋体" w:cs="宋体"/>
                <w:kern w:val="0"/>
                <w:sz w:val="21"/>
                <w:szCs w:val="21"/>
              </w:rPr>
              <w:t>前期论证</w:t>
            </w:r>
          </w:p>
        </w:tc>
        <w:tc>
          <w:tcPr>
            <w:tcW w:w="1575" w:type="dxa"/>
            <w:tcBorders>
              <w:top w:val="single" w:color="000000" w:sz="4" w:space="0"/>
              <w:left w:val="single" w:color="000000" w:sz="4" w:space="0"/>
              <w:bottom w:val="single" w:color="000000" w:sz="4" w:space="0"/>
              <w:right w:val="single" w:color="000000" w:sz="4" w:space="0"/>
            </w:tcBorders>
            <w:vAlign w:val="center"/>
          </w:tcPr>
          <w:p w14:paraId="6DEA8EEF">
            <w:pPr>
              <w:spacing w:line="240" w:lineRule="auto"/>
              <w:ind w:left="0"/>
              <w:rPr>
                <w:rFonts w:ascii="宋体" w:hAnsi="宋体" w:eastAsia="宋体"/>
                <w:kern w:val="0"/>
                <w:sz w:val="21"/>
                <w:szCs w:val="21"/>
              </w:rPr>
            </w:pPr>
            <w:r>
              <w:rPr>
                <w:rFonts w:hint="eastAsia" w:ascii="宋体" w:hAnsi="宋体" w:eastAsia="宋体" w:cs="宋体"/>
                <w:kern w:val="0"/>
                <w:sz w:val="21"/>
                <w:szCs w:val="21"/>
              </w:rPr>
              <w:t>制定指导意见</w:t>
            </w:r>
          </w:p>
        </w:tc>
        <w:tc>
          <w:tcPr>
            <w:tcW w:w="6932" w:type="dxa"/>
            <w:tcBorders>
              <w:top w:val="single" w:color="000000" w:sz="4" w:space="0"/>
              <w:left w:val="single" w:color="000000" w:sz="4" w:space="0"/>
              <w:bottom w:val="single" w:color="000000" w:sz="4" w:space="0"/>
              <w:right w:val="single" w:color="000000" w:sz="4" w:space="0"/>
            </w:tcBorders>
          </w:tcPr>
          <w:p w14:paraId="2BD12AC5">
            <w:pPr>
              <w:spacing w:line="240" w:lineRule="auto"/>
              <w:ind w:left="0"/>
              <w:rPr>
                <w:rFonts w:ascii="宋体" w:hAnsi="宋体" w:eastAsia="宋体"/>
                <w:kern w:val="0"/>
                <w:sz w:val="21"/>
                <w:szCs w:val="21"/>
              </w:rPr>
            </w:pPr>
            <w:r>
              <w:rPr>
                <w:rFonts w:hint="eastAsia" w:ascii="宋体" w:hAnsi="宋体" w:eastAsia="宋体" w:cs="宋体"/>
                <w:kern w:val="0"/>
                <w:sz w:val="21"/>
                <w:szCs w:val="21"/>
              </w:rPr>
              <w:t>学校成立领导小组，教务处组织调研、</w:t>
            </w:r>
            <w:r>
              <w:rPr>
                <w:rFonts w:hint="eastAsia" w:ascii="宋体" w:hAnsi="宋体" w:eastAsia="宋体"/>
                <w:kern w:val="0"/>
                <w:sz w:val="21"/>
                <w:szCs w:val="21"/>
              </w:rPr>
              <w:t xml:space="preserve"> </w:t>
            </w:r>
            <w:r>
              <w:rPr>
                <w:rFonts w:hint="eastAsia" w:ascii="宋体" w:hAnsi="宋体" w:eastAsia="宋体" w:cs="宋体"/>
                <w:kern w:val="0"/>
                <w:sz w:val="21"/>
                <w:szCs w:val="21"/>
              </w:rPr>
              <w:t>论证，制定《关于修订人才培养方案的指导意见》和《修订人才培养方案实施意见》</w:t>
            </w:r>
            <w:r>
              <w:rPr>
                <w:rFonts w:hint="eastAsia" w:ascii="宋体" w:hAnsi="宋体" w:eastAsia="宋体"/>
                <w:kern w:val="0"/>
                <w:sz w:val="21"/>
                <w:szCs w:val="21"/>
              </w:rPr>
              <w:t>；</w:t>
            </w:r>
            <w:r>
              <w:rPr>
                <w:rFonts w:hint="eastAsia" w:ascii="宋体" w:hAnsi="宋体" w:eastAsia="宋体" w:cs="宋体"/>
                <w:kern w:val="0"/>
                <w:sz w:val="21"/>
                <w:szCs w:val="21"/>
              </w:rPr>
              <w:t>各学院成立培养方案修订工作小组，各专业成立专业人才培养方案制（修）</w:t>
            </w:r>
            <w:r>
              <w:rPr>
                <w:rFonts w:hint="eastAsia" w:ascii="宋体" w:hAnsi="宋体" w:eastAsia="宋体"/>
                <w:kern w:val="0"/>
                <w:sz w:val="21"/>
                <w:szCs w:val="21"/>
              </w:rPr>
              <w:t xml:space="preserve"> </w:t>
            </w:r>
            <w:r>
              <w:rPr>
                <w:rFonts w:hint="eastAsia" w:ascii="宋体" w:hAnsi="宋体" w:eastAsia="宋体" w:cs="宋体"/>
                <w:kern w:val="0"/>
                <w:sz w:val="21"/>
                <w:szCs w:val="21"/>
              </w:rPr>
              <w:t>订工作组，依照指导意见和实施意见，</w:t>
            </w:r>
            <w:r>
              <w:rPr>
                <w:rFonts w:hint="eastAsia" w:ascii="宋体" w:hAnsi="宋体" w:eastAsia="宋体"/>
                <w:kern w:val="0"/>
                <w:sz w:val="21"/>
                <w:szCs w:val="21"/>
              </w:rPr>
              <w:t xml:space="preserve"> </w:t>
            </w:r>
            <w:r>
              <w:rPr>
                <w:rFonts w:hint="eastAsia" w:ascii="宋体" w:hAnsi="宋体" w:eastAsia="宋体" w:cs="宋体"/>
                <w:kern w:val="0"/>
                <w:sz w:val="21"/>
                <w:szCs w:val="21"/>
              </w:rPr>
              <w:t>开展本单位各专业人才培养方案制（修）订的论证。</w:t>
            </w:r>
          </w:p>
        </w:tc>
      </w:tr>
      <w:tr w14:paraId="1AD48EE7">
        <w:tblPrEx>
          <w:tblCellMar>
            <w:top w:w="88" w:type="dxa"/>
            <w:left w:w="107" w:type="dxa"/>
            <w:bottom w:w="0" w:type="dxa"/>
            <w:right w:w="4" w:type="dxa"/>
          </w:tblCellMar>
        </w:tblPrEx>
        <w:trPr>
          <w:trHeight w:val="527" w:hRule="atLeast"/>
        </w:trPr>
        <w:tc>
          <w:tcPr>
            <w:tcW w:w="1212" w:type="dxa"/>
            <w:vMerge w:val="continue"/>
            <w:tcBorders>
              <w:left w:val="single" w:color="000000" w:sz="4" w:space="0"/>
              <w:bottom w:val="single" w:color="auto" w:sz="4" w:space="0"/>
              <w:right w:val="single" w:color="000000" w:sz="4" w:space="0"/>
            </w:tcBorders>
            <w:vAlign w:val="center"/>
          </w:tcPr>
          <w:p w14:paraId="3DF80F35">
            <w:pPr>
              <w:spacing w:line="240" w:lineRule="auto"/>
              <w:rPr>
                <w:rFonts w:ascii="宋体" w:hAnsi="宋体" w:eastAsia="宋体"/>
                <w:kern w:val="0"/>
                <w:sz w:val="21"/>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6A1C106E">
            <w:pPr>
              <w:spacing w:line="240" w:lineRule="auto"/>
              <w:ind w:left="0"/>
              <w:rPr>
                <w:rFonts w:ascii="宋体" w:hAnsi="宋体" w:eastAsia="宋体"/>
                <w:kern w:val="0"/>
                <w:sz w:val="21"/>
                <w:szCs w:val="21"/>
              </w:rPr>
            </w:pPr>
            <w:r>
              <w:rPr>
                <w:rFonts w:hint="eastAsia" w:ascii="宋体" w:hAnsi="宋体" w:eastAsia="宋体" w:cs="宋体"/>
                <w:kern w:val="0"/>
                <w:sz w:val="21"/>
                <w:szCs w:val="21"/>
              </w:rPr>
              <w:t>自查现行方案存在问题</w:t>
            </w:r>
          </w:p>
        </w:tc>
        <w:tc>
          <w:tcPr>
            <w:tcW w:w="6932" w:type="dxa"/>
            <w:tcBorders>
              <w:top w:val="single" w:color="000000" w:sz="4" w:space="0"/>
              <w:left w:val="single" w:color="000000" w:sz="4" w:space="0"/>
              <w:bottom w:val="single" w:color="000000" w:sz="4" w:space="0"/>
              <w:right w:val="single" w:color="000000" w:sz="4" w:space="0"/>
            </w:tcBorders>
          </w:tcPr>
          <w:p w14:paraId="38704A16">
            <w:pPr>
              <w:spacing w:line="240" w:lineRule="auto"/>
              <w:ind w:left="0"/>
              <w:rPr>
                <w:rFonts w:ascii="宋体" w:hAnsi="宋体" w:eastAsia="宋体"/>
                <w:kern w:val="0"/>
                <w:sz w:val="21"/>
                <w:szCs w:val="21"/>
              </w:rPr>
            </w:pPr>
            <w:r>
              <w:rPr>
                <w:rFonts w:hint="eastAsia" w:ascii="宋体" w:hAnsi="宋体" w:eastAsia="宋体" w:cs="宋体"/>
                <w:kern w:val="0"/>
                <w:sz w:val="21"/>
                <w:szCs w:val="21"/>
              </w:rPr>
              <w:t>新版人才培养方案应建立在对现行人才培养方案存在问题准确把握基础上，形成自查报告，应具体提出在新一版人才培养方案中的整改措施。学院要组织各专业认真开展社会需求专项调研，深入了解行业企业人才培养需求，总结分析以往培养方案实施成效及培养目标达成情况，进一步凝练专业办学特色；各专业调研收集3-5份国内高校相同或相近专业的培养方案，明确2025版人才培养方案修订思路与重点，形成《XX专业培养目标和毕业要求》《XX专业2025版人才培养方案修订调研报告》。</w:t>
            </w:r>
          </w:p>
        </w:tc>
      </w:tr>
      <w:tr w14:paraId="3B133368">
        <w:tblPrEx>
          <w:tblCellMar>
            <w:top w:w="88" w:type="dxa"/>
            <w:left w:w="107" w:type="dxa"/>
            <w:bottom w:w="0" w:type="dxa"/>
            <w:right w:w="4" w:type="dxa"/>
          </w:tblCellMar>
        </w:tblPrEx>
        <w:trPr>
          <w:trHeight w:val="666" w:hRule="atLeast"/>
        </w:trPr>
        <w:tc>
          <w:tcPr>
            <w:tcW w:w="1212" w:type="dxa"/>
            <w:vMerge w:val="restart"/>
            <w:tcBorders>
              <w:top w:val="single" w:color="auto" w:sz="4" w:space="0"/>
              <w:left w:val="single" w:color="000000" w:sz="4" w:space="0"/>
              <w:right w:val="single" w:color="auto" w:sz="4" w:space="0"/>
            </w:tcBorders>
            <w:vAlign w:val="center"/>
          </w:tcPr>
          <w:p w14:paraId="2DCCF34A">
            <w:pPr>
              <w:spacing w:line="240" w:lineRule="auto"/>
              <w:ind w:left="0"/>
              <w:rPr>
                <w:rFonts w:ascii="宋体" w:hAnsi="宋体" w:eastAsia="宋体"/>
                <w:kern w:val="0"/>
                <w:sz w:val="21"/>
                <w:szCs w:val="21"/>
              </w:rPr>
            </w:pPr>
            <w:r>
              <w:rPr>
                <w:rFonts w:hint="eastAsia" w:ascii="宋体" w:hAnsi="宋体" w:eastAsia="宋体" w:cs="宋体"/>
                <w:kern w:val="0"/>
                <w:sz w:val="21"/>
                <w:szCs w:val="21"/>
              </w:rPr>
              <w:t>人才培养方案制定</w:t>
            </w:r>
          </w:p>
        </w:tc>
        <w:tc>
          <w:tcPr>
            <w:tcW w:w="1575" w:type="dxa"/>
            <w:tcBorders>
              <w:top w:val="single" w:color="000000" w:sz="4" w:space="0"/>
              <w:left w:val="single" w:color="auto" w:sz="4" w:space="0"/>
              <w:bottom w:val="single" w:color="000000" w:sz="4" w:space="0"/>
              <w:right w:val="single" w:color="000000" w:sz="4" w:space="0"/>
            </w:tcBorders>
            <w:vAlign w:val="center"/>
          </w:tcPr>
          <w:p w14:paraId="605E6664">
            <w:pPr>
              <w:spacing w:line="240" w:lineRule="auto"/>
              <w:ind w:left="0"/>
              <w:rPr>
                <w:rFonts w:ascii="宋体" w:hAnsi="宋体" w:eastAsia="宋体"/>
                <w:kern w:val="0"/>
                <w:sz w:val="21"/>
                <w:szCs w:val="21"/>
              </w:rPr>
            </w:pPr>
            <w:r>
              <w:rPr>
                <w:rFonts w:hint="eastAsia" w:ascii="宋体" w:hAnsi="宋体" w:eastAsia="宋体" w:cs="宋体"/>
                <w:kern w:val="0"/>
                <w:sz w:val="21"/>
                <w:szCs w:val="21"/>
              </w:rPr>
              <w:t>专业定位</w:t>
            </w:r>
          </w:p>
        </w:tc>
        <w:tc>
          <w:tcPr>
            <w:tcW w:w="6932" w:type="dxa"/>
            <w:tcBorders>
              <w:top w:val="single" w:color="000000" w:sz="4" w:space="0"/>
              <w:left w:val="single" w:color="000000" w:sz="4" w:space="0"/>
              <w:bottom w:val="single" w:color="000000" w:sz="4" w:space="0"/>
              <w:right w:val="single" w:color="000000" w:sz="4" w:space="0"/>
            </w:tcBorders>
          </w:tcPr>
          <w:p w14:paraId="46E376EE">
            <w:pPr>
              <w:spacing w:line="240" w:lineRule="auto"/>
              <w:ind w:left="0"/>
              <w:rPr>
                <w:rFonts w:ascii="宋体" w:hAnsi="宋体" w:eastAsia="宋体"/>
                <w:kern w:val="0"/>
                <w:sz w:val="21"/>
                <w:szCs w:val="21"/>
              </w:rPr>
            </w:pPr>
            <w:r>
              <w:rPr>
                <w:rFonts w:hint="eastAsia" w:ascii="宋体" w:hAnsi="宋体" w:eastAsia="宋体" w:cs="宋体"/>
                <w:kern w:val="0"/>
                <w:sz w:val="21"/>
                <w:szCs w:val="21"/>
              </w:rPr>
              <w:t>专业定位符合学校专业建设和发展规划，结合社会经济发展需求、行业特点和学校办学定位；专业定位明确，能体现本专业人才培养特色；涵盖毕业生具备的思想政治素质、业务素质和具体能力以及就业领域或服务面向等方面；专业设置与调整符合安徽省、长三角行业经济、职业发展需求。</w:t>
            </w:r>
          </w:p>
        </w:tc>
      </w:tr>
      <w:tr w14:paraId="27F4007D">
        <w:tblPrEx>
          <w:tblCellMar>
            <w:top w:w="88" w:type="dxa"/>
            <w:left w:w="107" w:type="dxa"/>
            <w:bottom w:w="0" w:type="dxa"/>
            <w:right w:w="4" w:type="dxa"/>
          </w:tblCellMar>
        </w:tblPrEx>
        <w:trPr>
          <w:trHeight w:val="666" w:hRule="atLeast"/>
        </w:trPr>
        <w:tc>
          <w:tcPr>
            <w:tcW w:w="1212" w:type="dxa"/>
            <w:vMerge w:val="continue"/>
            <w:tcBorders>
              <w:left w:val="single" w:color="000000" w:sz="4" w:space="0"/>
              <w:right w:val="single" w:color="auto" w:sz="4" w:space="0"/>
            </w:tcBorders>
          </w:tcPr>
          <w:p w14:paraId="42266583">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32C03A2D">
            <w:pPr>
              <w:spacing w:line="240" w:lineRule="auto"/>
              <w:ind w:left="0"/>
              <w:rPr>
                <w:rFonts w:ascii="宋体" w:hAnsi="宋体" w:eastAsia="宋体"/>
                <w:kern w:val="0"/>
                <w:sz w:val="21"/>
                <w:szCs w:val="21"/>
              </w:rPr>
            </w:pPr>
            <w:r>
              <w:rPr>
                <w:rFonts w:hint="eastAsia" w:ascii="宋体" w:hAnsi="宋体" w:eastAsia="宋体" w:cs="宋体"/>
                <w:kern w:val="0"/>
                <w:sz w:val="21"/>
                <w:szCs w:val="21"/>
              </w:rPr>
              <w:t>培养目标</w:t>
            </w:r>
          </w:p>
        </w:tc>
        <w:tc>
          <w:tcPr>
            <w:tcW w:w="6932" w:type="dxa"/>
            <w:tcBorders>
              <w:top w:val="single" w:color="000000" w:sz="4" w:space="0"/>
              <w:left w:val="single" w:color="000000" w:sz="4" w:space="0"/>
              <w:bottom w:val="single" w:color="000000" w:sz="4" w:space="0"/>
              <w:right w:val="single" w:color="000000" w:sz="4" w:space="0"/>
            </w:tcBorders>
          </w:tcPr>
          <w:p w14:paraId="0610E9F3">
            <w:pPr>
              <w:spacing w:line="240" w:lineRule="auto"/>
              <w:ind w:left="0"/>
              <w:rPr>
                <w:rFonts w:ascii="宋体" w:hAnsi="宋体" w:eastAsia="宋体"/>
                <w:kern w:val="0"/>
                <w:sz w:val="21"/>
                <w:szCs w:val="21"/>
              </w:rPr>
            </w:pPr>
            <w:r>
              <w:rPr>
                <w:rFonts w:hint="eastAsia" w:ascii="宋体" w:hAnsi="宋体" w:eastAsia="宋体" w:cs="宋体"/>
                <w:kern w:val="0"/>
                <w:sz w:val="21"/>
                <w:szCs w:val="21"/>
              </w:rPr>
              <w:t>围绕社会需求，专业认证或相关行业认证等标准，准确定位专业培养目标，明确学生毕业</w:t>
            </w:r>
            <w:r>
              <w:rPr>
                <w:rFonts w:ascii="宋体" w:hAnsi="宋体" w:eastAsia="宋体"/>
                <w:kern w:val="0"/>
                <w:sz w:val="21"/>
                <w:szCs w:val="21"/>
              </w:rPr>
              <w:t>5</w:t>
            </w:r>
            <w:r>
              <w:rPr>
                <w:rFonts w:hint="eastAsia" w:ascii="宋体" w:hAnsi="宋体" w:eastAsia="宋体" w:cs="宋体"/>
                <w:kern w:val="0"/>
                <w:sz w:val="21"/>
                <w:szCs w:val="21"/>
              </w:rPr>
              <w:t>年左右在社会和专业领域预期能够取得的成就；符合学校人才培养方案制定（修订）指导意见要求；</w:t>
            </w:r>
          </w:p>
        </w:tc>
      </w:tr>
      <w:tr w14:paraId="3543C1E2">
        <w:tblPrEx>
          <w:tblCellMar>
            <w:top w:w="88" w:type="dxa"/>
            <w:left w:w="107" w:type="dxa"/>
            <w:bottom w:w="0" w:type="dxa"/>
            <w:right w:w="4" w:type="dxa"/>
          </w:tblCellMar>
        </w:tblPrEx>
        <w:trPr>
          <w:trHeight w:val="666" w:hRule="atLeast"/>
        </w:trPr>
        <w:tc>
          <w:tcPr>
            <w:tcW w:w="1212" w:type="dxa"/>
            <w:vMerge w:val="continue"/>
            <w:tcBorders>
              <w:left w:val="single" w:color="000000" w:sz="4" w:space="0"/>
              <w:right w:val="single" w:color="auto" w:sz="4" w:space="0"/>
            </w:tcBorders>
          </w:tcPr>
          <w:p w14:paraId="74B1B2AD">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22C1010B">
            <w:pPr>
              <w:spacing w:line="240" w:lineRule="auto"/>
              <w:ind w:left="0"/>
              <w:rPr>
                <w:rFonts w:ascii="宋体" w:hAnsi="宋体" w:eastAsia="宋体"/>
                <w:kern w:val="0"/>
                <w:sz w:val="21"/>
                <w:szCs w:val="21"/>
              </w:rPr>
            </w:pPr>
            <w:r>
              <w:rPr>
                <w:rFonts w:hint="eastAsia" w:ascii="宋体" w:hAnsi="宋体" w:eastAsia="宋体" w:cs="宋体"/>
                <w:kern w:val="0"/>
                <w:sz w:val="21"/>
                <w:szCs w:val="21"/>
              </w:rPr>
              <w:t>毕业要求</w:t>
            </w:r>
          </w:p>
        </w:tc>
        <w:tc>
          <w:tcPr>
            <w:tcW w:w="6932" w:type="dxa"/>
            <w:tcBorders>
              <w:top w:val="single" w:color="000000" w:sz="4" w:space="0"/>
              <w:left w:val="single" w:color="000000" w:sz="4" w:space="0"/>
              <w:bottom w:val="single" w:color="000000" w:sz="4" w:space="0"/>
              <w:right w:val="single" w:color="000000" w:sz="4" w:space="0"/>
            </w:tcBorders>
          </w:tcPr>
          <w:p w14:paraId="6FEEA8AD">
            <w:pPr>
              <w:spacing w:line="240" w:lineRule="auto"/>
              <w:ind w:left="0"/>
              <w:rPr>
                <w:rFonts w:ascii="宋体" w:hAnsi="宋体" w:eastAsia="宋体"/>
                <w:kern w:val="0"/>
                <w:sz w:val="21"/>
                <w:szCs w:val="21"/>
              </w:rPr>
            </w:pPr>
            <w:r>
              <w:rPr>
                <w:rFonts w:hint="eastAsia" w:ascii="宋体" w:hAnsi="宋体" w:eastAsia="宋体" w:cs="宋体"/>
                <w:kern w:val="0"/>
                <w:sz w:val="21"/>
                <w:szCs w:val="21"/>
              </w:rPr>
              <w:t>毕业要求应体现专业人才培养</w:t>
            </w:r>
            <w:r>
              <w:rPr>
                <w:rFonts w:ascii="宋体" w:hAnsi="宋体" w:eastAsia="宋体"/>
                <w:kern w:val="0"/>
                <w:sz w:val="21"/>
                <w:szCs w:val="21"/>
              </w:rPr>
              <w:t>“</w:t>
            </w:r>
            <w:r>
              <w:rPr>
                <w:rFonts w:hint="eastAsia" w:ascii="宋体" w:hAnsi="宋体" w:eastAsia="宋体" w:cs="宋体"/>
                <w:kern w:val="0"/>
                <w:sz w:val="21"/>
                <w:szCs w:val="21"/>
              </w:rPr>
              <w:t>产出</w:t>
            </w:r>
            <w:r>
              <w:rPr>
                <w:rFonts w:ascii="宋体" w:hAnsi="宋体" w:eastAsia="宋体"/>
                <w:kern w:val="0"/>
                <w:sz w:val="21"/>
                <w:szCs w:val="21"/>
              </w:rPr>
              <w:t>”</w:t>
            </w:r>
            <w:r>
              <w:rPr>
                <w:rFonts w:hint="eastAsia" w:ascii="宋体" w:hAnsi="宋体" w:eastAsia="宋体" w:cs="宋体"/>
                <w:kern w:val="0"/>
                <w:sz w:val="21"/>
                <w:szCs w:val="21"/>
              </w:rPr>
              <w:t>的质量要求，应能够支撑培养目标的达成，且在人才培养全过程中逐项分解落实，且融入我校及本专业的特色；应对本专业学生在毕业时应掌握的知识、能力、素质进行明确的、可衡量的具体描述。</w:t>
            </w:r>
          </w:p>
        </w:tc>
      </w:tr>
      <w:tr w14:paraId="1C1DDD42">
        <w:tblPrEx>
          <w:tblCellMar>
            <w:top w:w="88" w:type="dxa"/>
            <w:left w:w="107" w:type="dxa"/>
            <w:bottom w:w="0" w:type="dxa"/>
            <w:right w:w="4" w:type="dxa"/>
          </w:tblCellMar>
        </w:tblPrEx>
        <w:trPr>
          <w:trHeight w:val="706" w:hRule="atLeast"/>
        </w:trPr>
        <w:tc>
          <w:tcPr>
            <w:tcW w:w="1212" w:type="dxa"/>
            <w:vMerge w:val="continue"/>
            <w:tcBorders>
              <w:left w:val="single" w:color="000000" w:sz="4" w:space="0"/>
              <w:right w:val="single" w:color="auto" w:sz="4" w:space="0"/>
            </w:tcBorders>
          </w:tcPr>
          <w:p w14:paraId="056F4BF1">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770F3BFD">
            <w:pPr>
              <w:spacing w:line="240" w:lineRule="auto"/>
              <w:ind w:left="0"/>
              <w:rPr>
                <w:rFonts w:ascii="宋体" w:hAnsi="宋体" w:eastAsia="宋体"/>
                <w:kern w:val="0"/>
                <w:sz w:val="21"/>
                <w:szCs w:val="21"/>
              </w:rPr>
            </w:pPr>
            <w:r>
              <w:rPr>
                <w:rFonts w:hint="eastAsia" w:ascii="宋体" w:hAnsi="宋体" w:eastAsia="宋体" w:cs="宋体"/>
                <w:kern w:val="0"/>
                <w:sz w:val="21"/>
                <w:szCs w:val="21"/>
              </w:rPr>
              <w:t>主干学科和核心课程</w:t>
            </w:r>
          </w:p>
        </w:tc>
        <w:tc>
          <w:tcPr>
            <w:tcW w:w="6932" w:type="dxa"/>
            <w:tcBorders>
              <w:top w:val="single" w:color="000000" w:sz="4" w:space="0"/>
              <w:left w:val="single" w:color="000000" w:sz="4" w:space="0"/>
              <w:bottom w:val="single" w:color="000000" w:sz="4" w:space="0"/>
              <w:right w:val="single" w:color="000000" w:sz="4" w:space="0"/>
            </w:tcBorders>
          </w:tcPr>
          <w:p w14:paraId="092B2837">
            <w:pPr>
              <w:spacing w:line="240" w:lineRule="auto"/>
              <w:ind w:left="0"/>
              <w:rPr>
                <w:rFonts w:ascii="宋体" w:hAnsi="宋体" w:eastAsia="宋体"/>
                <w:kern w:val="0"/>
                <w:sz w:val="21"/>
                <w:szCs w:val="21"/>
              </w:rPr>
            </w:pPr>
            <w:r>
              <w:rPr>
                <w:rFonts w:hint="eastAsia" w:ascii="宋体" w:hAnsi="宋体" w:eastAsia="宋体" w:cs="宋体"/>
                <w:kern w:val="0"/>
                <w:sz w:val="21"/>
                <w:szCs w:val="21"/>
              </w:rPr>
              <w:t>符合《普通高等学校本科专业类教学质量国家标准》；课程设置恰当，能体现专业特色，体现学生专业能力与综合素质培养。</w:t>
            </w:r>
          </w:p>
        </w:tc>
      </w:tr>
      <w:tr w14:paraId="543D8F9A">
        <w:tblPrEx>
          <w:tblCellMar>
            <w:top w:w="88" w:type="dxa"/>
            <w:left w:w="107" w:type="dxa"/>
            <w:bottom w:w="0" w:type="dxa"/>
            <w:right w:w="4" w:type="dxa"/>
          </w:tblCellMar>
        </w:tblPrEx>
        <w:trPr>
          <w:trHeight w:val="666" w:hRule="atLeast"/>
        </w:trPr>
        <w:tc>
          <w:tcPr>
            <w:tcW w:w="1212" w:type="dxa"/>
            <w:vMerge w:val="continue"/>
            <w:tcBorders>
              <w:left w:val="single" w:color="000000" w:sz="4" w:space="0"/>
              <w:right w:val="single" w:color="auto" w:sz="4" w:space="0"/>
            </w:tcBorders>
          </w:tcPr>
          <w:p w14:paraId="6703AFC4">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tcPr>
          <w:p w14:paraId="2B7E9A88">
            <w:pPr>
              <w:spacing w:line="240" w:lineRule="auto"/>
              <w:ind w:left="0"/>
              <w:rPr>
                <w:rFonts w:ascii="宋体" w:hAnsi="宋体" w:eastAsia="宋体"/>
                <w:kern w:val="0"/>
                <w:sz w:val="21"/>
                <w:szCs w:val="21"/>
              </w:rPr>
            </w:pPr>
            <w:r>
              <w:rPr>
                <w:rFonts w:hint="eastAsia" w:ascii="宋体" w:hAnsi="宋体" w:eastAsia="宋体" w:cs="宋体"/>
                <w:kern w:val="0"/>
                <w:sz w:val="21"/>
                <w:szCs w:val="21"/>
              </w:rPr>
              <w:t>学制、学分、学位授予</w:t>
            </w:r>
          </w:p>
        </w:tc>
        <w:tc>
          <w:tcPr>
            <w:tcW w:w="6932" w:type="dxa"/>
            <w:tcBorders>
              <w:top w:val="single" w:color="000000" w:sz="4" w:space="0"/>
              <w:left w:val="single" w:color="000000" w:sz="4" w:space="0"/>
              <w:bottom w:val="single" w:color="000000" w:sz="4" w:space="0"/>
              <w:right w:val="single" w:color="000000" w:sz="4" w:space="0"/>
            </w:tcBorders>
          </w:tcPr>
          <w:p w14:paraId="437367F4">
            <w:pPr>
              <w:spacing w:line="240" w:lineRule="auto"/>
              <w:ind w:left="0"/>
              <w:rPr>
                <w:rFonts w:ascii="宋体" w:hAnsi="宋体" w:eastAsia="宋体"/>
                <w:kern w:val="0"/>
                <w:sz w:val="21"/>
                <w:szCs w:val="21"/>
              </w:rPr>
            </w:pPr>
            <w:r>
              <w:rPr>
                <w:rFonts w:hint="eastAsia" w:ascii="宋体" w:hAnsi="宋体" w:eastAsia="宋体" w:cs="宋体"/>
                <w:kern w:val="0"/>
                <w:sz w:val="21"/>
                <w:szCs w:val="21"/>
              </w:rPr>
              <w:t>对基本学制、毕业授予学位的学科与层次表述准确；总学分原则上不得超过《普通高等学校本科专业类教学质量国家标准》上限与下限的平均数；专业遵守教育部教学指导委员会的要求。</w:t>
            </w:r>
          </w:p>
        </w:tc>
      </w:tr>
      <w:tr w14:paraId="356B8ABE">
        <w:tblPrEx>
          <w:tblCellMar>
            <w:top w:w="88" w:type="dxa"/>
            <w:left w:w="107" w:type="dxa"/>
            <w:bottom w:w="0" w:type="dxa"/>
            <w:right w:w="4" w:type="dxa"/>
          </w:tblCellMar>
        </w:tblPrEx>
        <w:trPr>
          <w:trHeight w:val="366" w:hRule="atLeast"/>
        </w:trPr>
        <w:tc>
          <w:tcPr>
            <w:tcW w:w="1212" w:type="dxa"/>
            <w:vMerge w:val="continue"/>
            <w:tcBorders>
              <w:left w:val="single" w:color="000000" w:sz="4" w:space="0"/>
              <w:right w:val="single" w:color="auto" w:sz="4" w:space="0"/>
            </w:tcBorders>
          </w:tcPr>
          <w:p w14:paraId="4900B4A8">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tcPr>
          <w:p w14:paraId="47C5B396">
            <w:pPr>
              <w:spacing w:line="240" w:lineRule="auto"/>
              <w:ind w:left="0"/>
              <w:rPr>
                <w:rFonts w:ascii="宋体" w:hAnsi="宋体" w:eastAsia="宋体"/>
                <w:kern w:val="0"/>
                <w:sz w:val="21"/>
                <w:szCs w:val="21"/>
              </w:rPr>
            </w:pPr>
            <w:r>
              <w:rPr>
                <w:rFonts w:hint="eastAsia" w:ascii="宋体" w:hAnsi="宋体" w:eastAsia="宋体" w:cs="宋体"/>
                <w:kern w:val="0"/>
                <w:sz w:val="21"/>
                <w:szCs w:val="21"/>
              </w:rPr>
              <w:t>专业理论教学体系</w:t>
            </w:r>
          </w:p>
        </w:tc>
        <w:tc>
          <w:tcPr>
            <w:tcW w:w="6932" w:type="dxa"/>
            <w:tcBorders>
              <w:top w:val="single" w:color="000000" w:sz="4" w:space="0"/>
              <w:left w:val="single" w:color="000000" w:sz="4" w:space="0"/>
              <w:bottom w:val="single" w:color="000000" w:sz="4" w:space="0"/>
              <w:right w:val="single" w:color="000000" w:sz="4" w:space="0"/>
            </w:tcBorders>
          </w:tcPr>
          <w:p w14:paraId="193ABA14">
            <w:pPr>
              <w:spacing w:line="240" w:lineRule="auto"/>
              <w:ind w:left="0"/>
              <w:rPr>
                <w:rFonts w:ascii="宋体" w:hAnsi="宋体" w:eastAsia="宋体"/>
                <w:kern w:val="0"/>
                <w:sz w:val="21"/>
                <w:szCs w:val="21"/>
              </w:rPr>
            </w:pPr>
            <w:r>
              <w:rPr>
                <w:rFonts w:hint="eastAsia" w:ascii="宋体" w:hAnsi="宋体" w:eastAsia="宋体" w:cs="宋体"/>
                <w:kern w:val="0"/>
                <w:sz w:val="21"/>
                <w:szCs w:val="21"/>
              </w:rPr>
              <w:t>理论教学体系框架清晰，总学时、学分及各类课程模块学时、学分分配比例适当，且符合学校的指导性意见要求；专业课程设置合理。</w:t>
            </w:r>
          </w:p>
        </w:tc>
      </w:tr>
      <w:tr w14:paraId="36F7D71D">
        <w:tblPrEx>
          <w:tblCellMar>
            <w:top w:w="88" w:type="dxa"/>
            <w:left w:w="107" w:type="dxa"/>
            <w:bottom w:w="0" w:type="dxa"/>
            <w:right w:w="4" w:type="dxa"/>
          </w:tblCellMar>
        </w:tblPrEx>
        <w:trPr>
          <w:trHeight w:val="666" w:hRule="atLeast"/>
        </w:trPr>
        <w:tc>
          <w:tcPr>
            <w:tcW w:w="1212" w:type="dxa"/>
            <w:vMerge w:val="continue"/>
            <w:tcBorders>
              <w:left w:val="single" w:color="000000" w:sz="4" w:space="0"/>
              <w:right w:val="single" w:color="auto" w:sz="4" w:space="0"/>
            </w:tcBorders>
            <w:vAlign w:val="center"/>
          </w:tcPr>
          <w:p w14:paraId="5250FE7D">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69E6411B">
            <w:pPr>
              <w:spacing w:line="240" w:lineRule="auto"/>
              <w:ind w:left="0"/>
              <w:rPr>
                <w:rFonts w:ascii="宋体" w:hAnsi="宋体" w:eastAsia="宋体"/>
                <w:kern w:val="0"/>
                <w:sz w:val="21"/>
                <w:szCs w:val="21"/>
              </w:rPr>
            </w:pPr>
            <w:r>
              <w:rPr>
                <w:rFonts w:hint="eastAsia" w:ascii="宋体" w:hAnsi="宋体" w:eastAsia="宋体" w:cs="宋体"/>
                <w:kern w:val="0"/>
                <w:sz w:val="21"/>
                <w:szCs w:val="21"/>
              </w:rPr>
              <w:t>专业实践教学体系</w:t>
            </w:r>
          </w:p>
        </w:tc>
        <w:tc>
          <w:tcPr>
            <w:tcW w:w="6932" w:type="dxa"/>
            <w:tcBorders>
              <w:top w:val="single" w:color="000000" w:sz="4" w:space="0"/>
              <w:left w:val="single" w:color="000000" w:sz="4" w:space="0"/>
              <w:bottom w:val="single" w:color="000000" w:sz="4" w:space="0"/>
              <w:right w:val="single" w:color="000000" w:sz="4" w:space="0"/>
            </w:tcBorders>
          </w:tcPr>
          <w:p w14:paraId="33DF94ED">
            <w:pPr>
              <w:spacing w:line="240" w:lineRule="auto"/>
              <w:ind w:left="0"/>
              <w:rPr>
                <w:rFonts w:ascii="宋体" w:hAnsi="宋体" w:eastAsia="宋体"/>
                <w:kern w:val="0"/>
                <w:sz w:val="21"/>
                <w:szCs w:val="21"/>
              </w:rPr>
            </w:pPr>
            <w:r>
              <w:rPr>
                <w:rFonts w:hint="eastAsia" w:ascii="宋体" w:hAnsi="宋体" w:eastAsia="宋体" w:cs="宋体"/>
                <w:kern w:val="0"/>
                <w:sz w:val="21"/>
                <w:szCs w:val="21"/>
              </w:rPr>
              <w:t>实践教学体系框架清晰，各实践模块学分分配及其比例合适，且符合学校的指导性意见要求；与专业知识领域相适应的主要实践教学内容设置合理；素质拓展与创新创业教育安排合理，符合学校要求。理论教学体系和实践教学体系要能支撑毕业要求的达成。</w:t>
            </w:r>
          </w:p>
        </w:tc>
      </w:tr>
      <w:tr w14:paraId="4805942D">
        <w:tblPrEx>
          <w:tblCellMar>
            <w:top w:w="88" w:type="dxa"/>
            <w:left w:w="107" w:type="dxa"/>
            <w:bottom w:w="0" w:type="dxa"/>
            <w:right w:w="4" w:type="dxa"/>
          </w:tblCellMar>
        </w:tblPrEx>
        <w:trPr>
          <w:trHeight w:val="666" w:hRule="atLeast"/>
        </w:trPr>
        <w:tc>
          <w:tcPr>
            <w:tcW w:w="1212" w:type="dxa"/>
            <w:vMerge w:val="continue"/>
            <w:tcBorders>
              <w:left w:val="single" w:color="000000" w:sz="4" w:space="0"/>
              <w:right w:val="single" w:color="auto" w:sz="4" w:space="0"/>
            </w:tcBorders>
          </w:tcPr>
          <w:p w14:paraId="0510BE9E">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53569214">
            <w:pPr>
              <w:spacing w:line="240" w:lineRule="auto"/>
              <w:ind w:left="0"/>
              <w:rPr>
                <w:rFonts w:ascii="宋体" w:hAnsi="宋体" w:eastAsia="宋体"/>
                <w:kern w:val="0"/>
                <w:sz w:val="21"/>
                <w:szCs w:val="21"/>
              </w:rPr>
            </w:pPr>
            <w:r>
              <w:rPr>
                <w:rFonts w:hint="eastAsia" w:ascii="宋体" w:hAnsi="宋体" w:eastAsia="宋体" w:cs="宋体"/>
                <w:kern w:val="0"/>
                <w:sz w:val="21"/>
                <w:szCs w:val="21"/>
              </w:rPr>
              <w:t>学时学分分配</w:t>
            </w:r>
          </w:p>
        </w:tc>
        <w:tc>
          <w:tcPr>
            <w:tcW w:w="6932" w:type="dxa"/>
            <w:tcBorders>
              <w:top w:val="single" w:color="000000" w:sz="4" w:space="0"/>
              <w:left w:val="single" w:color="000000" w:sz="4" w:space="0"/>
              <w:bottom w:val="single" w:color="000000" w:sz="4" w:space="0"/>
              <w:right w:val="single" w:color="000000" w:sz="4" w:space="0"/>
            </w:tcBorders>
          </w:tcPr>
          <w:p w14:paraId="0160EE56">
            <w:pPr>
              <w:spacing w:line="240" w:lineRule="auto"/>
              <w:ind w:left="0"/>
              <w:rPr>
                <w:rFonts w:ascii="宋体" w:hAnsi="宋体" w:eastAsia="宋体"/>
                <w:kern w:val="0"/>
                <w:sz w:val="21"/>
                <w:szCs w:val="21"/>
              </w:rPr>
            </w:pPr>
            <w:r>
              <w:rPr>
                <w:rFonts w:hint="eastAsia" w:ascii="宋体" w:hAnsi="宋体" w:eastAsia="宋体" w:cs="宋体"/>
                <w:kern w:val="0"/>
                <w:sz w:val="21"/>
                <w:szCs w:val="21"/>
              </w:rPr>
              <w:t>理工、艺术类专业实践（含实验）学分（学时）不少于总学分（学时）的25%，文科类专业实践（含实验）学分（学时）不少于总学分（学时）的20%。国标或专业认证标准中有明确要求的，按照相应标准执行。</w:t>
            </w:r>
          </w:p>
        </w:tc>
      </w:tr>
      <w:tr w14:paraId="7130AE7B">
        <w:tblPrEx>
          <w:tblCellMar>
            <w:top w:w="88" w:type="dxa"/>
            <w:left w:w="107" w:type="dxa"/>
            <w:bottom w:w="0" w:type="dxa"/>
            <w:right w:w="4" w:type="dxa"/>
          </w:tblCellMar>
        </w:tblPrEx>
        <w:trPr>
          <w:trHeight w:val="611" w:hRule="atLeast"/>
        </w:trPr>
        <w:tc>
          <w:tcPr>
            <w:tcW w:w="1212" w:type="dxa"/>
            <w:vMerge w:val="continue"/>
            <w:tcBorders>
              <w:left w:val="single" w:color="000000" w:sz="4" w:space="0"/>
              <w:right w:val="single" w:color="auto" w:sz="4" w:space="0"/>
            </w:tcBorders>
          </w:tcPr>
          <w:p w14:paraId="6BEAE363">
            <w:pPr>
              <w:spacing w:line="240" w:lineRule="auto"/>
              <w:rPr>
                <w:rFonts w:ascii="宋体" w:hAnsi="宋体" w:eastAsia="宋体"/>
                <w:kern w:val="0"/>
                <w:sz w:val="21"/>
                <w:szCs w:val="21"/>
              </w:rPr>
            </w:pPr>
          </w:p>
        </w:tc>
        <w:tc>
          <w:tcPr>
            <w:tcW w:w="1575" w:type="dxa"/>
            <w:tcBorders>
              <w:top w:val="single" w:color="000000" w:sz="4" w:space="0"/>
              <w:left w:val="single" w:color="auto" w:sz="4" w:space="0"/>
              <w:bottom w:val="single" w:color="000000" w:sz="4" w:space="0"/>
              <w:right w:val="single" w:color="000000" w:sz="4" w:space="0"/>
            </w:tcBorders>
            <w:vAlign w:val="center"/>
          </w:tcPr>
          <w:p w14:paraId="47799659">
            <w:pPr>
              <w:spacing w:line="240" w:lineRule="auto"/>
              <w:rPr>
                <w:rFonts w:ascii="宋体" w:hAnsi="宋体" w:eastAsia="宋体"/>
                <w:kern w:val="0"/>
                <w:sz w:val="21"/>
                <w:szCs w:val="21"/>
              </w:rPr>
            </w:pPr>
            <w:r>
              <w:rPr>
                <w:rFonts w:hint="eastAsia" w:ascii="宋体" w:hAnsi="宋体" w:eastAsia="宋体" w:cs="宋体"/>
                <w:kern w:val="0"/>
                <w:sz w:val="21"/>
                <w:szCs w:val="21"/>
              </w:rPr>
              <w:t>教学进程计划安排表</w:t>
            </w:r>
          </w:p>
        </w:tc>
        <w:tc>
          <w:tcPr>
            <w:tcW w:w="6932" w:type="dxa"/>
            <w:tcBorders>
              <w:top w:val="single" w:color="000000" w:sz="4" w:space="0"/>
              <w:left w:val="single" w:color="000000" w:sz="4" w:space="0"/>
              <w:bottom w:val="single" w:color="000000" w:sz="4" w:space="0"/>
              <w:right w:val="single" w:color="000000" w:sz="4" w:space="0"/>
            </w:tcBorders>
          </w:tcPr>
          <w:p w14:paraId="3C12A415">
            <w:pPr>
              <w:spacing w:line="240" w:lineRule="auto"/>
              <w:ind w:left="0"/>
              <w:rPr>
                <w:rFonts w:ascii="宋体" w:hAnsi="宋体" w:eastAsia="宋体"/>
                <w:kern w:val="0"/>
                <w:sz w:val="21"/>
                <w:szCs w:val="21"/>
              </w:rPr>
            </w:pPr>
            <w:r>
              <w:rPr>
                <w:rFonts w:hint="eastAsia" w:ascii="宋体" w:hAnsi="宋体" w:eastAsia="宋体" w:cs="宋体"/>
                <w:kern w:val="0"/>
                <w:sz w:val="21"/>
                <w:szCs w:val="21"/>
              </w:rPr>
              <w:t>教学进程安排表中的课程设置（代码、课程名称、学分数、属性等）与学校教学管理系统中的课程库信息一致并完整；学期学分学时明确，总计无误；理论课程与实践课程结构比例合理；必修与选修课程比例结构合理，选修方向至少提供两个，</w:t>
            </w:r>
            <w:r>
              <w:rPr>
                <w:rFonts w:ascii="宋体" w:hAnsi="宋体" w:eastAsia="宋体" w:cs="宋体"/>
                <w:kern w:val="0"/>
                <w:sz w:val="21"/>
                <w:szCs w:val="21"/>
              </w:rPr>
              <w:t>每个方向设置8-12门课程</w:t>
            </w:r>
            <w:r>
              <w:rPr>
                <w:rFonts w:hint="eastAsia" w:ascii="宋体" w:hAnsi="宋体" w:eastAsia="宋体" w:cs="宋体"/>
                <w:kern w:val="0"/>
                <w:sz w:val="21"/>
                <w:szCs w:val="21"/>
              </w:rPr>
              <w:t>。</w:t>
            </w:r>
          </w:p>
        </w:tc>
      </w:tr>
      <w:tr w14:paraId="602C493D">
        <w:tblPrEx>
          <w:tblCellMar>
            <w:top w:w="88" w:type="dxa"/>
            <w:left w:w="107" w:type="dxa"/>
            <w:bottom w:w="0" w:type="dxa"/>
            <w:right w:w="4" w:type="dxa"/>
          </w:tblCellMar>
        </w:tblPrEx>
        <w:trPr>
          <w:trHeight w:val="666" w:hRule="atLeast"/>
        </w:trPr>
        <w:tc>
          <w:tcPr>
            <w:tcW w:w="1212" w:type="dxa"/>
            <w:vMerge w:val="restart"/>
            <w:tcBorders>
              <w:top w:val="single" w:color="000000" w:sz="4" w:space="0"/>
              <w:left w:val="single" w:color="000000" w:sz="4" w:space="0"/>
              <w:bottom w:val="single" w:color="auto" w:sz="4" w:space="0"/>
              <w:right w:val="single" w:color="000000" w:sz="4" w:space="0"/>
            </w:tcBorders>
            <w:vAlign w:val="center"/>
          </w:tcPr>
          <w:p w14:paraId="3FEF801E">
            <w:pPr>
              <w:spacing w:line="240" w:lineRule="auto"/>
              <w:ind w:left="0"/>
              <w:rPr>
                <w:rFonts w:ascii="宋体" w:hAnsi="宋体" w:eastAsia="宋体"/>
                <w:kern w:val="0"/>
                <w:sz w:val="21"/>
                <w:szCs w:val="21"/>
              </w:rPr>
            </w:pPr>
            <w:r>
              <w:rPr>
                <w:rFonts w:hint="eastAsia" w:ascii="宋体" w:hAnsi="宋体" w:eastAsia="宋体" w:cs="宋体"/>
                <w:kern w:val="0"/>
                <w:sz w:val="21"/>
                <w:szCs w:val="21"/>
              </w:rPr>
              <w:t>后期评审</w:t>
            </w:r>
          </w:p>
        </w:tc>
        <w:tc>
          <w:tcPr>
            <w:tcW w:w="1575" w:type="dxa"/>
            <w:tcBorders>
              <w:top w:val="single" w:color="000000" w:sz="4" w:space="0"/>
              <w:left w:val="single" w:color="000000" w:sz="4" w:space="0"/>
              <w:bottom w:val="single" w:color="000000" w:sz="4" w:space="0"/>
              <w:right w:val="single" w:color="000000" w:sz="4" w:space="0"/>
            </w:tcBorders>
          </w:tcPr>
          <w:p w14:paraId="583C7F56">
            <w:pPr>
              <w:spacing w:line="240" w:lineRule="auto"/>
              <w:ind w:left="0"/>
              <w:rPr>
                <w:rFonts w:ascii="宋体" w:hAnsi="宋体" w:eastAsia="宋体"/>
                <w:kern w:val="0"/>
                <w:sz w:val="21"/>
                <w:szCs w:val="21"/>
              </w:rPr>
            </w:pPr>
            <w:r>
              <w:rPr>
                <w:rFonts w:hint="eastAsia" w:ascii="宋体" w:hAnsi="宋体" w:eastAsia="宋体" w:cs="宋体"/>
                <w:kern w:val="0"/>
                <w:sz w:val="21"/>
                <w:szCs w:val="21"/>
              </w:rPr>
              <w:t>校内评审</w:t>
            </w:r>
          </w:p>
        </w:tc>
        <w:tc>
          <w:tcPr>
            <w:tcW w:w="6932" w:type="dxa"/>
            <w:tcBorders>
              <w:top w:val="single" w:color="000000" w:sz="4" w:space="0"/>
              <w:left w:val="single" w:color="000000" w:sz="4" w:space="0"/>
              <w:bottom w:val="single" w:color="000000" w:sz="4" w:space="0"/>
              <w:right w:val="single" w:color="000000" w:sz="4" w:space="0"/>
            </w:tcBorders>
          </w:tcPr>
          <w:p w14:paraId="24D5366F">
            <w:pPr>
              <w:spacing w:line="240" w:lineRule="auto"/>
              <w:ind w:left="0"/>
              <w:rPr>
                <w:rFonts w:ascii="宋体" w:hAnsi="宋体" w:eastAsia="宋体"/>
                <w:kern w:val="0"/>
                <w:sz w:val="21"/>
                <w:szCs w:val="21"/>
              </w:rPr>
            </w:pPr>
            <w:r>
              <w:rPr>
                <w:rFonts w:hint="eastAsia" w:ascii="宋体" w:hAnsi="宋体" w:eastAsia="宋体" w:cs="宋体"/>
                <w:kern w:val="0"/>
                <w:sz w:val="21"/>
                <w:szCs w:val="21"/>
              </w:rPr>
              <w:t>各学院要组织相关专家对本学院各专业的培养方案进行论证，论证意见需形成书面材料。各专业结合论证意见对培养方案进行修改完善，经学院党政联席会</w:t>
            </w:r>
            <w:r>
              <w:rPr>
                <w:rFonts w:hint="eastAsia" w:ascii="宋体" w:hAnsi="宋体" w:eastAsia="宋体" w:cs="宋体"/>
                <w:color w:val="auto"/>
                <w:kern w:val="0"/>
                <w:sz w:val="21"/>
                <w:szCs w:val="21"/>
              </w:rPr>
              <w:t>议审议通过，形成《本科专业人才培养方案修订审核表》；学校组织教学指导专门委员会，对</w:t>
            </w:r>
            <w:r>
              <w:rPr>
                <w:rFonts w:hint="eastAsia" w:ascii="宋体" w:hAnsi="宋体" w:eastAsia="宋体" w:cs="宋体"/>
                <w:kern w:val="0"/>
                <w:sz w:val="21"/>
                <w:szCs w:val="21"/>
              </w:rPr>
              <w:t>各专业培养方案进行集中答辩、评审，并给出修订意见，各学院根据修改意见进行修改。</w:t>
            </w:r>
          </w:p>
        </w:tc>
      </w:tr>
      <w:tr w14:paraId="17B10D6D">
        <w:tblPrEx>
          <w:tblCellMar>
            <w:top w:w="88" w:type="dxa"/>
            <w:left w:w="107" w:type="dxa"/>
            <w:bottom w:w="0" w:type="dxa"/>
            <w:right w:w="4" w:type="dxa"/>
          </w:tblCellMar>
        </w:tblPrEx>
        <w:trPr>
          <w:trHeight w:val="469" w:hRule="atLeast"/>
        </w:trPr>
        <w:tc>
          <w:tcPr>
            <w:tcW w:w="1212" w:type="dxa"/>
            <w:vMerge w:val="continue"/>
            <w:tcBorders>
              <w:top w:val="single" w:color="auto" w:sz="4" w:space="0"/>
              <w:left w:val="single" w:color="000000" w:sz="4" w:space="0"/>
              <w:bottom w:val="single" w:color="auto" w:sz="4" w:space="0"/>
              <w:right w:val="single" w:color="000000" w:sz="4" w:space="0"/>
            </w:tcBorders>
          </w:tcPr>
          <w:p w14:paraId="2259669B">
            <w:pPr>
              <w:spacing w:line="240" w:lineRule="auto"/>
              <w:rPr>
                <w:rFonts w:ascii="宋体" w:hAnsi="宋体" w:eastAsia="宋体"/>
                <w:kern w:val="0"/>
                <w:sz w:val="21"/>
                <w:szCs w:val="21"/>
              </w:rPr>
            </w:pPr>
          </w:p>
        </w:tc>
        <w:tc>
          <w:tcPr>
            <w:tcW w:w="1575" w:type="dxa"/>
            <w:tcBorders>
              <w:top w:val="single" w:color="000000" w:sz="4" w:space="0"/>
              <w:left w:val="single" w:color="000000" w:sz="4" w:space="0"/>
              <w:bottom w:val="single" w:color="000000" w:sz="4" w:space="0"/>
              <w:right w:val="single" w:color="000000" w:sz="4" w:space="0"/>
            </w:tcBorders>
          </w:tcPr>
          <w:p w14:paraId="09347895">
            <w:pPr>
              <w:spacing w:line="240" w:lineRule="auto"/>
              <w:ind w:left="0"/>
              <w:rPr>
                <w:rFonts w:ascii="宋体" w:hAnsi="宋体" w:eastAsia="宋体"/>
                <w:kern w:val="0"/>
                <w:sz w:val="21"/>
                <w:szCs w:val="21"/>
              </w:rPr>
            </w:pPr>
            <w:r>
              <w:rPr>
                <w:rFonts w:hint="eastAsia" w:ascii="宋体" w:hAnsi="宋体" w:eastAsia="宋体" w:cs="宋体"/>
                <w:kern w:val="0"/>
                <w:sz w:val="21"/>
                <w:szCs w:val="21"/>
              </w:rPr>
              <w:t>校外送审</w:t>
            </w:r>
          </w:p>
        </w:tc>
        <w:tc>
          <w:tcPr>
            <w:tcW w:w="6932" w:type="dxa"/>
            <w:tcBorders>
              <w:top w:val="single" w:color="000000" w:sz="4" w:space="0"/>
              <w:left w:val="single" w:color="000000" w:sz="4" w:space="0"/>
              <w:bottom w:val="single" w:color="000000" w:sz="4" w:space="0"/>
              <w:right w:val="single" w:color="000000" w:sz="4" w:space="0"/>
            </w:tcBorders>
          </w:tcPr>
          <w:p w14:paraId="7C26D0FA">
            <w:pPr>
              <w:spacing w:line="240" w:lineRule="auto"/>
              <w:ind w:left="0"/>
              <w:rPr>
                <w:rFonts w:ascii="宋体" w:hAnsi="宋体" w:eastAsia="宋体"/>
                <w:kern w:val="0"/>
                <w:sz w:val="21"/>
                <w:szCs w:val="21"/>
              </w:rPr>
            </w:pPr>
            <w:r>
              <w:rPr>
                <w:rFonts w:hint="eastAsia" w:ascii="宋体" w:hAnsi="宋体" w:eastAsia="宋体" w:cs="宋体"/>
                <w:kern w:val="0"/>
                <w:sz w:val="21"/>
                <w:szCs w:val="21"/>
              </w:rPr>
              <w:t>选取同行专家、行业专家、毕业生代表、就业单位代表等不同层面，对草拟的培养方案进行评审，并提出修改意见，各学院根据修改意见进行修改。</w:t>
            </w:r>
          </w:p>
        </w:tc>
      </w:tr>
    </w:tbl>
    <w:p w14:paraId="2649A36C">
      <w:pPr>
        <w:ind w:left="0"/>
        <w:rPr>
          <w:rFonts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39"/>
    <w:rsid w:val="000C509B"/>
    <w:rsid w:val="00116FCC"/>
    <w:rsid w:val="0012324A"/>
    <w:rsid w:val="0031060A"/>
    <w:rsid w:val="00336093"/>
    <w:rsid w:val="00395CE8"/>
    <w:rsid w:val="003A361E"/>
    <w:rsid w:val="004B129C"/>
    <w:rsid w:val="00716C58"/>
    <w:rsid w:val="007D76C3"/>
    <w:rsid w:val="008631C2"/>
    <w:rsid w:val="009F4639"/>
    <w:rsid w:val="00A46A0D"/>
    <w:rsid w:val="00B440A5"/>
    <w:rsid w:val="00BA1164"/>
    <w:rsid w:val="00BF0D6B"/>
    <w:rsid w:val="00DB58D6"/>
    <w:rsid w:val="1FAE643D"/>
    <w:rsid w:val="6B803BEB"/>
    <w:rsid w:val="773A212D"/>
    <w:rsid w:val="788A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59" w:lineRule="auto"/>
      <w:ind w:left="242"/>
    </w:pPr>
    <w:rPr>
      <w:rFonts w:ascii="Calibri" w:hAnsi="Calibri" w:eastAsia="Calibri" w:cs="Calibri"/>
      <w:color w:val="000000"/>
      <w:kern w:val="2"/>
      <w:sz w:val="22"/>
      <w:szCs w:val="22"/>
      <w:lang w:val="en-US" w:eastAsia="zh-CN" w:bidi="ar-SA"/>
    </w:rPr>
  </w:style>
  <w:style w:type="paragraph" w:styleId="2">
    <w:name w:val="heading 1"/>
    <w:basedOn w:val="1"/>
    <w:next w:val="1"/>
    <w:link w:val="10"/>
    <w:autoRedefine/>
    <w:qFormat/>
    <w:uiPriority w:val="9"/>
    <w:pPr>
      <w:keepNext/>
      <w:keepLines/>
      <w:spacing w:line="265" w:lineRule="auto"/>
      <w:ind w:left="1923" w:hanging="10"/>
      <w:outlineLvl w:val="0"/>
    </w:pPr>
    <w:rPr>
      <w:rFonts w:ascii="黑体" w:hAnsi="黑体" w:eastAsia="黑体" w:cs="黑体"/>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style>
  <w:style w:type="paragraph" w:styleId="4">
    <w:name w:val="Balloon Text"/>
    <w:basedOn w:val="1"/>
    <w:link w:val="12"/>
    <w:semiHidden/>
    <w:unhideWhenUsed/>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标题 1 字符"/>
    <w:basedOn w:val="8"/>
    <w:link w:val="2"/>
    <w:qFormat/>
    <w:uiPriority w:val="9"/>
    <w:rPr>
      <w:rFonts w:ascii="黑体" w:hAnsi="黑体" w:eastAsia="黑体" w:cs="黑体"/>
      <w:color w:val="000000"/>
      <w:sz w:val="32"/>
    </w:rPr>
  </w:style>
  <w:style w:type="table" w:customStyle="1" w:styleId="11">
    <w:name w:val="TableGrid"/>
    <w:autoRedefine/>
    <w:qFormat/>
    <w:uiPriority w:val="0"/>
    <w:rPr>
      <w:rFonts w:ascii="Times New Roman" w:hAnsi="Times New Roman" w:cs="Times New Roman"/>
    </w:rPr>
    <w:tblPr>
      <w:tblCellMar>
        <w:top w:w="0" w:type="dxa"/>
        <w:left w:w="0" w:type="dxa"/>
        <w:bottom w:w="0" w:type="dxa"/>
        <w:right w:w="0" w:type="dxa"/>
      </w:tblCellMar>
    </w:tblPr>
  </w:style>
  <w:style w:type="character" w:customStyle="1" w:styleId="12">
    <w:name w:val="批注框文本 字符"/>
    <w:basedOn w:val="8"/>
    <w:link w:val="4"/>
    <w:semiHidden/>
    <w:uiPriority w:val="99"/>
    <w:rPr>
      <w:rFonts w:ascii="Calibri" w:hAnsi="Calibri" w:eastAsia="Calibri" w:cs="Calibri"/>
      <w:color w:val="000000"/>
      <w:kern w:val="2"/>
      <w:sz w:val="18"/>
      <w:szCs w:val="18"/>
    </w:rPr>
  </w:style>
  <w:style w:type="character" w:customStyle="1" w:styleId="13">
    <w:name w:val="页眉 字符"/>
    <w:basedOn w:val="8"/>
    <w:link w:val="6"/>
    <w:uiPriority w:val="99"/>
    <w:rPr>
      <w:rFonts w:ascii="Calibri" w:hAnsi="Calibri" w:eastAsia="Calibri" w:cs="Calibri"/>
      <w:color w:val="000000"/>
      <w:kern w:val="2"/>
      <w:sz w:val="18"/>
      <w:szCs w:val="18"/>
    </w:rPr>
  </w:style>
  <w:style w:type="character" w:customStyle="1" w:styleId="14">
    <w:name w:val="页脚 字符"/>
    <w:basedOn w:val="8"/>
    <w:link w:val="5"/>
    <w:uiPriority w:val="99"/>
    <w:rPr>
      <w:rFonts w:ascii="Calibri" w:hAnsi="Calibri" w:eastAsia="Calibri" w:cs="Calibri"/>
      <w:color w:val="000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1516</Words>
  <Characters>1533</Characters>
  <Lines>11</Lines>
  <Paragraphs>3</Paragraphs>
  <TotalTime>46</TotalTime>
  <ScaleCrop>false</ScaleCrop>
  <LinksUpToDate>false</LinksUpToDate>
  <CharactersWithSpaces>1536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2025-05-15T07:40:00Z</dcterms:created>
  <dc:creator>刘咏梅</dc:creator>
  <cp:lastModifiedBy>WZC</cp:lastModifiedBy>
  <dcterms:modified xsi:type="dcterms:W3CDTF">2025-05-16T09:17:33Z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DC05364AEDFA49708A88CE12D4E283B6_13</vt:lpwstr>
  </property>
  <property fmtid="{D5CDD505-2E9C-101B-9397-08002B2CF9AE}" pid="4" name="KSOTemplateDocerSaveRecord">
    <vt:lpwstr>eyJoZGlkIjoiMDZjODEyZWU3OTA2N2RjMGE5NmZmZjlkNzRhNDY3ZDUiLCJ1c2VySWQiOiI5ODYyMTQ2MzkifQ==</vt:lpwstr>
  </property>
</Properties>
</file>